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xml:space="preserve">. Пенза, ул. </w:t>
            </w:r>
            <w:proofErr w:type="gramStart"/>
            <w:r w:rsidRPr="00731887">
              <w:rPr>
                <w:b/>
                <w:i w:val="0"/>
                <w:sz w:val="20"/>
                <w:szCs w:val="20"/>
              </w:rPr>
              <w:t>Московская</w:t>
            </w:r>
            <w:proofErr w:type="gramEnd"/>
            <w:r w:rsidRPr="00731887">
              <w:rPr>
                <w:b/>
                <w:i w:val="0"/>
                <w:sz w:val="20"/>
                <w:szCs w:val="20"/>
              </w:rPr>
              <w:t>,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D00BA8" w:rsidRPr="00731887">
        <w:rPr>
          <w:rFonts w:ascii="Times New Roman" w:hAnsi="Times New Roman"/>
          <w:b/>
          <w:sz w:val="20"/>
          <w:szCs w:val="20"/>
        </w:rPr>
        <w:t>6</w:t>
      </w:r>
      <w:r w:rsidR="00731887" w:rsidRPr="00731887">
        <w:rPr>
          <w:rFonts w:ascii="Times New Roman" w:hAnsi="Times New Roman"/>
          <w:b/>
          <w:sz w:val="20"/>
          <w:szCs w:val="20"/>
        </w:rPr>
        <w:t>5</w:t>
      </w:r>
      <w:r w:rsidR="00775D29" w:rsidRPr="00731887">
        <w:rPr>
          <w:rFonts w:ascii="Times New Roman" w:hAnsi="Times New Roman"/>
          <w:b/>
          <w:sz w:val="20"/>
          <w:szCs w:val="20"/>
        </w:rPr>
        <w:t xml:space="preserve">-э ЗК-ПГЭС от </w:t>
      </w:r>
      <w:r w:rsidR="00731887" w:rsidRPr="00731887">
        <w:rPr>
          <w:rFonts w:ascii="Times New Roman" w:hAnsi="Times New Roman"/>
          <w:b/>
          <w:sz w:val="20"/>
          <w:szCs w:val="20"/>
        </w:rPr>
        <w:t>26</w:t>
      </w:r>
      <w:r w:rsidR="0067737E" w:rsidRPr="00731887">
        <w:rPr>
          <w:rFonts w:ascii="Times New Roman" w:hAnsi="Times New Roman"/>
          <w:b/>
          <w:sz w:val="20"/>
          <w:szCs w:val="20"/>
        </w:rPr>
        <w:t>.</w:t>
      </w:r>
      <w:r w:rsidR="00CA4F11" w:rsidRPr="00731887">
        <w:rPr>
          <w:rFonts w:ascii="Times New Roman" w:hAnsi="Times New Roman"/>
          <w:b/>
          <w:sz w:val="20"/>
          <w:szCs w:val="20"/>
        </w:rPr>
        <w:t>04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725C79"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725C79" w:rsidRPr="00731887">
        <w:rPr>
          <w:rFonts w:ascii="Times New Roman" w:hAnsi="Times New Roman"/>
          <w:sz w:val="20"/>
          <w:szCs w:val="20"/>
        </w:rPr>
      </w:r>
      <w:r w:rsidR="00725C79"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725C79"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725C79"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725C79" w:rsidRPr="00731887">
        <w:rPr>
          <w:rFonts w:ascii="Times New Roman" w:hAnsi="Times New Roman"/>
          <w:sz w:val="20"/>
          <w:szCs w:val="20"/>
        </w:rPr>
      </w:r>
      <w:r w:rsidR="00725C79"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725C79"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 xml:space="preserve">Силовой трансформатор ТМГ-400/10/0,4кВ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 xml:space="preserve">(тех. присоединение г. Пенза, ул. </w:t>
            </w:r>
            <w:proofErr w:type="gramStart"/>
            <w:r w:rsidR="00731887" w:rsidRPr="00731887">
              <w:rPr>
                <w:rFonts w:ascii="Times New Roman" w:eastAsia="Times New Roman" w:hAnsi="Times New Roman"/>
                <w:b/>
                <w:bCs/>
                <w:sz w:val="20"/>
                <w:szCs w:val="20"/>
                <w:lang w:eastAsia="ru-RU"/>
              </w:rPr>
              <w:t>Полярная</w:t>
            </w:r>
            <w:proofErr w:type="gramEnd"/>
            <w:r w:rsidR="00731887" w:rsidRPr="00731887">
              <w:rPr>
                <w:rFonts w:ascii="Times New Roman" w:eastAsia="Times New Roman" w:hAnsi="Times New Roman"/>
                <w:b/>
                <w:bCs/>
                <w:sz w:val="20"/>
                <w:szCs w:val="20"/>
                <w:lang w:eastAsia="ru-RU"/>
              </w:rPr>
              <w:t>, шифр проекта 40-04</w:t>
            </w:r>
            <w:r w:rsidRPr="00731887">
              <w:rPr>
                <w:rFonts w:ascii="Times New Roman" w:eastAsia="Times New Roman" w:hAnsi="Times New Roman"/>
                <w:b/>
                <w:bCs/>
                <w:sz w:val="20"/>
                <w:szCs w:val="20"/>
                <w:lang w:eastAsia="ru-RU"/>
              </w:rPr>
              <w:t>-22-ЭС)</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9225B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4</w:t>
            </w:r>
            <w:r w:rsidR="00731887" w:rsidRPr="00731887">
              <w:rPr>
                <w:rFonts w:ascii="Times New Roman" w:hAnsi="Times New Roman"/>
                <w:b/>
                <w:sz w:val="20"/>
                <w:szCs w:val="20"/>
              </w:rPr>
              <w:t>5</w:t>
            </w:r>
            <w:r>
              <w:rPr>
                <w:rFonts w:ascii="Times New Roman" w:hAnsi="Times New Roman"/>
                <w:b/>
                <w:sz w:val="20"/>
                <w:szCs w:val="20"/>
              </w:rPr>
              <w:t>0</w:t>
            </w:r>
            <w:r w:rsidR="00731887" w:rsidRPr="00731887">
              <w:rPr>
                <w:rFonts w:ascii="Times New Roman" w:hAnsi="Times New Roman"/>
                <w:b/>
                <w:sz w:val="20"/>
                <w:szCs w:val="20"/>
              </w:rPr>
              <w:t> 000,00</w:t>
            </w:r>
          </w:p>
        </w:tc>
      </w:tr>
      <w:tr w:rsidR="002D0B90"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2D0B9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731887">
              <w:rPr>
                <w:rFonts w:ascii="Times New Roman" w:eastAsia="Times New Roman" w:hAnsi="Times New Roman"/>
                <w:b/>
                <w:bCs/>
                <w:sz w:val="20"/>
                <w:szCs w:val="20"/>
                <w:lang w:eastAsia="ru-RU"/>
              </w:rPr>
              <w:t xml:space="preserve">(тех. присоединение г. Пенза, ул. </w:t>
            </w:r>
            <w:r>
              <w:rPr>
                <w:rFonts w:ascii="Times New Roman" w:eastAsia="Times New Roman" w:hAnsi="Times New Roman"/>
                <w:b/>
                <w:bCs/>
                <w:sz w:val="20"/>
                <w:szCs w:val="20"/>
                <w:lang w:eastAsia="ru-RU"/>
              </w:rPr>
              <w:t>Гагарина 7А, шифр проекта 42</w:t>
            </w:r>
            <w:r w:rsidRPr="00731887">
              <w:rPr>
                <w:rFonts w:ascii="Times New Roman" w:eastAsia="Times New Roman" w:hAnsi="Times New Roman"/>
                <w:b/>
                <w:bCs/>
                <w:sz w:val="20"/>
                <w:szCs w:val="20"/>
                <w:lang w:eastAsia="ru-RU"/>
              </w:rPr>
              <w:t>-04-22-ЭС)</w:t>
            </w:r>
          </w:p>
        </w:tc>
        <w:tc>
          <w:tcPr>
            <w:tcW w:w="155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right w:val="single" w:sz="4" w:space="0" w:color="auto"/>
            </w:tcBorders>
            <w:vAlign w:val="center"/>
          </w:tcPr>
          <w:p w:rsidR="002D0B90" w:rsidRPr="00731887" w:rsidRDefault="009225B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650 000,00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9225B1" w:rsidRPr="009225B1">
        <w:rPr>
          <w:rFonts w:ascii="Times New Roman" w:hAnsi="Times New Roman" w:cs="Times New Roman"/>
          <w:b/>
          <w:i/>
          <w:noProof/>
          <w:sz w:val="20"/>
          <w:szCs w:val="20"/>
        </w:rPr>
        <w:t>1 100</w:t>
      </w:r>
      <w:r w:rsidR="00731887" w:rsidRPr="009225B1">
        <w:rPr>
          <w:rFonts w:ascii="Times New Roman" w:hAnsi="Times New Roman" w:cs="Times New Roman"/>
          <w:b/>
          <w:i/>
          <w:noProof/>
          <w:sz w:val="20"/>
          <w:szCs w:val="20"/>
        </w:rPr>
        <w:t xml:space="preserve"> 0</w:t>
      </w:r>
      <w:r w:rsidR="00D00BA8" w:rsidRPr="009225B1">
        <w:rPr>
          <w:rFonts w:ascii="Times New Roman" w:hAnsi="Times New Roman" w:cs="Times New Roman"/>
          <w:b/>
          <w:i/>
          <w:noProof/>
          <w:sz w:val="20"/>
          <w:szCs w:val="20"/>
        </w:rPr>
        <w:t>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9225B1" w:rsidRPr="009225B1">
        <w:rPr>
          <w:rFonts w:ascii="Times New Roman" w:eastAsia="Calibri" w:hAnsi="Times New Roman" w:cs="Times New Roman"/>
          <w:b/>
          <w:i/>
          <w:sz w:val="20"/>
          <w:szCs w:val="20"/>
        </w:rPr>
        <w:t>916 666,67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2D0B90">
        <w:rPr>
          <w:rFonts w:ascii="Times New Roman" w:hAnsi="Times New Roman" w:cs="Times New Roman"/>
          <w:b/>
          <w:bCs/>
          <w:i/>
          <w:sz w:val="20"/>
          <w:szCs w:val="20"/>
          <w:u w:val="single"/>
        </w:rPr>
        <w:t>11</w:t>
      </w:r>
      <w:r w:rsidR="004C1441" w:rsidRPr="00731887">
        <w:rPr>
          <w:rFonts w:ascii="Times New Roman" w:hAnsi="Times New Roman" w:cs="Times New Roman"/>
          <w:b/>
          <w:bCs/>
          <w:i/>
          <w:sz w:val="20"/>
          <w:szCs w:val="20"/>
          <w:u w:val="single"/>
        </w:rPr>
        <w:t xml:space="preserve">» </w:t>
      </w:r>
      <w:r w:rsidR="00731887" w:rsidRPr="00731887">
        <w:rPr>
          <w:rFonts w:ascii="Times New Roman" w:hAnsi="Times New Roman" w:cs="Times New Roman"/>
          <w:b/>
          <w:bCs/>
          <w:i/>
          <w:sz w:val="20"/>
          <w:szCs w:val="20"/>
          <w:u w:val="single"/>
        </w:rPr>
        <w:t>05</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lastRenderedPageBreak/>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725C79"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725C79"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2D0B90">
        <w:rPr>
          <w:rFonts w:ascii="Times New Roman" w:hAnsi="Times New Roman" w:cs="Times New Roman"/>
          <w:b/>
          <w:bCs/>
          <w:i/>
          <w:sz w:val="20"/>
          <w:szCs w:val="20"/>
          <w:u w:val="single"/>
        </w:rPr>
        <w:t>18</w:t>
      </w:r>
      <w:r w:rsidRPr="00731887">
        <w:rPr>
          <w:rFonts w:ascii="Times New Roman" w:hAnsi="Times New Roman" w:cs="Times New Roman"/>
          <w:b/>
          <w:bCs/>
          <w:i/>
          <w:sz w:val="20"/>
          <w:szCs w:val="20"/>
          <w:u w:val="single"/>
        </w:rPr>
        <w:t xml:space="preserve">» </w:t>
      </w:r>
      <w:r w:rsidR="004042A0" w:rsidRPr="00731887">
        <w:rPr>
          <w:rFonts w:ascii="Times New Roman" w:hAnsi="Times New Roman" w:cs="Times New Roman"/>
          <w:b/>
          <w:bCs/>
          <w:i/>
          <w:sz w:val="20"/>
          <w:szCs w:val="20"/>
          <w:u w:val="single"/>
        </w:rPr>
        <w:t>05</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 xml:space="preserve">0629, г. Пенза, ул. </w:t>
      </w:r>
      <w:proofErr w:type="gramStart"/>
      <w:r w:rsidR="001128C1" w:rsidRPr="00731887">
        <w:rPr>
          <w:rFonts w:ascii="Times New Roman" w:eastAsia="Calibri" w:hAnsi="Times New Roman" w:cs="Times New Roman"/>
          <w:sz w:val="20"/>
          <w:szCs w:val="20"/>
        </w:rPr>
        <w:t>Московская</w:t>
      </w:r>
      <w:proofErr w:type="gramEnd"/>
      <w:r w:rsidR="001128C1" w:rsidRPr="00731887">
        <w:rPr>
          <w:rFonts w:ascii="Times New Roman" w:eastAsia="Calibri" w:hAnsi="Times New Roman" w:cs="Times New Roman"/>
          <w:sz w:val="20"/>
          <w:szCs w:val="20"/>
        </w:rPr>
        <w:t>,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по капитальному строительству</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отдела инвестиций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М.Н. Лагуткин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731887">
        <w:rPr>
          <w:rFonts w:ascii="Times New Roman" w:hAnsi="Times New Roman"/>
          <w:sz w:val="20"/>
          <w:szCs w:val="20"/>
        </w:rPr>
        <w:t>а</w:t>
      </w:r>
      <w:proofErr w:type="gramEnd"/>
      <w:r w:rsidRPr="00731887">
        <w:rPr>
          <w:rFonts w:ascii="Times New Roman" w:hAnsi="Times New Roman"/>
          <w:sz w:val="20"/>
          <w:szCs w:val="20"/>
        </w:rPr>
        <w:t xml:space="preserve">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725C79"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725C79" w:rsidRPr="00731887">
              <w:rPr>
                <w:rFonts w:ascii="Times New Roman" w:hAnsi="Times New Roman"/>
                <w:sz w:val="20"/>
                <w:szCs w:val="20"/>
              </w:rPr>
            </w:r>
            <w:r w:rsidR="00725C79"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725C79"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725C7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9225B1"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noProof/>
                <w:sz w:val="20"/>
                <w:szCs w:val="20"/>
              </w:rPr>
              <w:t xml:space="preserve">1 100 000,00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sidRPr="009225B1">
              <w:rPr>
                <w:rFonts w:ascii="Times New Roman" w:eastAsia="Calibri" w:hAnsi="Times New Roman" w:cs="Times New Roman"/>
                <w:b/>
                <w:sz w:val="20"/>
                <w:szCs w:val="20"/>
              </w:rPr>
              <w:t xml:space="preserve">916 666,67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725C7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2D0B90">
              <w:rPr>
                <w:rFonts w:ascii="Times New Roman" w:hAnsi="Times New Roman"/>
                <w:b/>
                <w:bCs/>
                <w:i/>
                <w:sz w:val="20"/>
                <w:szCs w:val="20"/>
                <w:u w:val="single"/>
              </w:rPr>
              <w:t>11</w:t>
            </w:r>
            <w:r w:rsidRPr="00731887">
              <w:rPr>
                <w:rFonts w:ascii="Times New Roman" w:hAnsi="Times New Roman"/>
                <w:b/>
                <w:bCs/>
                <w:i/>
                <w:sz w:val="20"/>
                <w:szCs w:val="20"/>
                <w:u w:val="single"/>
              </w:rPr>
              <w:t xml:space="preserve">» </w:t>
            </w:r>
            <w:r w:rsidR="00731887">
              <w:rPr>
                <w:rFonts w:ascii="Times New Roman" w:hAnsi="Times New Roman"/>
                <w:b/>
                <w:bCs/>
                <w:i/>
                <w:sz w:val="20"/>
                <w:szCs w:val="20"/>
                <w:u w:val="single"/>
              </w:rPr>
              <w:t>05</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725C79"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725C7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725C79"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725C79" w:rsidRPr="00731887">
              <w:rPr>
                <w:rFonts w:ascii="Times New Roman" w:hAnsi="Times New Roman"/>
                <w:sz w:val="20"/>
                <w:szCs w:val="20"/>
              </w:rPr>
            </w:r>
            <w:r w:rsidR="00725C79"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725C79"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2D0B90">
              <w:rPr>
                <w:rFonts w:ascii="Times New Roman" w:hAnsi="Times New Roman"/>
                <w:b/>
                <w:bCs/>
                <w:i/>
                <w:sz w:val="20"/>
                <w:szCs w:val="20"/>
                <w:u w:val="single"/>
              </w:rPr>
              <w:t>06</w:t>
            </w:r>
            <w:r w:rsidR="00E367AC" w:rsidRPr="00731887">
              <w:rPr>
                <w:rFonts w:ascii="Times New Roman" w:hAnsi="Times New Roman"/>
                <w:b/>
                <w:bCs/>
                <w:i/>
                <w:sz w:val="20"/>
                <w:szCs w:val="20"/>
                <w:u w:val="single"/>
              </w:rPr>
              <w:t xml:space="preserve">» </w:t>
            </w:r>
            <w:r w:rsidR="00731887">
              <w:rPr>
                <w:rFonts w:ascii="Times New Roman" w:hAnsi="Times New Roman"/>
                <w:b/>
                <w:bCs/>
                <w:i/>
                <w:sz w:val="20"/>
                <w:szCs w:val="20"/>
                <w:u w:val="single"/>
              </w:rPr>
              <w:t>05</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D0B90">
              <w:rPr>
                <w:rFonts w:ascii="Times New Roman" w:hAnsi="Times New Roman"/>
                <w:b/>
                <w:bCs/>
                <w:i/>
                <w:sz w:val="20"/>
                <w:szCs w:val="20"/>
                <w:u w:val="single"/>
              </w:rPr>
              <w:t>«11</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731887">
              <w:rPr>
                <w:rFonts w:ascii="Times New Roman" w:hAnsi="Times New Roman"/>
                <w:b/>
                <w:bCs/>
                <w:i/>
                <w:sz w:val="20"/>
                <w:szCs w:val="20"/>
                <w:u w:val="single"/>
              </w:rPr>
              <w:t>05</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A4F11" w:rsidRPr="00731887">
              <w:rPr>
                <w:rFonts w:ascii="Times New Roman" w:hAnsi="Times New Roman"/>
                <w:b/>
                <w:bCs/>
                <w:i/>
                <w:sz w:val="20"/>
                <w:szCs w:val="20"/>
                <w:u w:val="single"/>
              </w:rPr>
              <w:t>1</w:t>
            </w:r>
            <w:r w:rsidR="002D0B90">
              <w:rPr>
                <w:rFonts w:ascii="Times New Roman" w:hAnsi="Times New Roman"/>
                <w:b/>
                <w:bCs/>
                <w:i/>
                <w:sz w:val="20"/>
                <w:szCs w:val="20"/>
                <w:u w:val="single"/>
              </w:rPr>
              <w:t>8</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346883" w:rsidRPr="00731887">
              <w:rPr>
                <w:rFonts w:ascii="Times New Roman" w:hAnsi="Times New Roman"/>
                <w:b/>
                <w:bCs/>
                <w:i/>
                <w:sz w:val="20"/>
                <w:szCs w:val="20"/>
                <w:u w:val="single"/>
              </w:rPr>
              <w:t>05</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725C7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725C79"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725C79"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725C79"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725C7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725C79"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731887">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725C79"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725C79" w:rsidRPr="00731887">
        <w:rPr>
          <w:rFonts w:ascii="Times New Roman" w:hAnsi="Times New Roman"/>
          <w:sz w:val="20"/>
          <w:szCs w:val="20"/>
        </w:rPr>
        <w:fldChar w:fldCharType="separate"/>
      </w:r>
      <w:r w:rsidR="009225B1">
        <w:rPr>
          <w:rFonts w:ascii="Times New Roman" w:hAnsi="Times New Roman"/>
          <w:noProof/>
          <w:sz w:val="20"/>
          <w:szCs w:val="20"/>
        </w:rPr>
        <w:t>1</w:t>
      </w:r>
      <w:r w:rsidR="00725C79"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D0B90" w:rsidRPr="00731887" w:rsidTr="00ED724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 xml:space="preserve">Силовой трансформатор ТМГ-400/10/0,4кВ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3081" w:type="dxa"/>
            <w:vMerge w:val="restart"/>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D0B90" w:rsidRPr="00731887" w:rsidRDefault="002D0B90" w:rsidP="00731887">
            <w:pPr>
              <w:pStyle w:val="afff1"/>
              <w:spacing w:before="0" w:line="240" w:lineRule="auto"/>
              <w:jc w:val="center"/>
              <w:rPr>
                <w:b/>
                <w:sz w:val="20"/>
                <w:szCs w:val="20"/>
              </w:rPr>
            </w:pPr>
            <w:r w:rsidRPr="00731887">
              <w:rPr>
                <w:b/>
                <w:sz w:val="20"/>
                <w:szCs w:val="20"/>
              </w:rPr>
              <w:t>12.2.007.2-75</w:t>
            </w:r>
          </w:p>
          <w:p w:rsidR="002D0B90" w:rsidRPr="00731887" w:rsidRDefault="002D0B90"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2D0B90" w:rsidRPr="00731887" w:rsidTr="00ED724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н-11</w:t>
            </w:r>
          </w:p>
        </w:tc>
        <w:tc>
          <w:tcPr>
            <w:tcW w:w="113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2D0B90">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46883" w:rsidRPr="00731887">
        <w:rPr>
          <w:rFonts w:ascii="Times New Roman" w:hAnsi="Times New Roman"/>
          <w:sz w:val="20"/>
          <w:szCs w:val="20"/>
        </w:rPr>
        <w:t>6</w:t>
      </w:r>
      <w:r w:rsidR="00A36E6F">
        <w:rPr>
          <w:rFonts w:ascii="Times New Roman" w:hAnsi="Times New Roman"/>
          <w:sz w:val="20"/>
          <w:szCs w:val="20"/>
        </w:rPr>
        <w:t>5</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A36E6F">
        <w:rPr>
          <w:rFonts w:ascii="Times New Roman" w:hAnsi="Times New Roman"/>
          <w:sz w:val="20"/>
          <w:szCs w:val="20"/>
        </w:rPr>
        <w:t>26</w:t>
      </w:r>
      <w:r w:rsidR="00CA4F11" w:rsidRPr="00731887">
        <w:rPr>
          <w:rFonts w:ascii="Times New Roman" w:hAnsi="Times New Roman"/>
          <w:sz w:val="20"/>
          <w:szCs w:val="20"/>
        </w:rPr>
        <w:t>.04</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 xml:space="preserve">440629, г. Пенза, ул. </w:t>
            </w:r>
            <w:proofErr w:type="gramStart"/>
            <w:r w:rsidRPr="00731887">
              <w:rPr>
                <w:rFonts w:ascii="Times New Roman" w:hAnsi="Times New Roman"/>
                <w:sz w:val="20"/>
                <w:szCs w:val="20"/>
              </w:rPr>
              <w:t>Московская</w:t>
            </w:r>
            <w:proofErr w:type="gramEnd"/>
            <w:r w:rsidRPr="00731887">
              <w:rPr>
                <w:rFonts w:ascii="Times New Roman" w:hAnsi="Times New Roman"/>
                <w:sz w:val="20"/>
                <w:szCs w:val="20"/>
              </w:rPr>
              <w:t>,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2D0B90" w:rsidRPr="00731887" w:rsidTr="009B5C68">
        <w:trPr>
          <w:gridAfter w:val="1"/>
          <w:wAfter w:w="9" w:type="dxa"/>
          <w:cantSplit/>
          <w:trHeight w:val="469"/>
        </w:trPr>
        <w:tc>
          <w:tcPr>
            <w:tcW w:w="495" w:type="dxa"/>
            <w:vAlign w:val="center"/>
          </w:tcPr>
          <w:p w:rsidR="002D0B90" w:rsidRPr="00731887" w:rsidRDefault="002D0B90"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 xml:space="preserve">Силовой трансформатор ТМГ-400/10/0,4кВ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2D0B90" w:rsidRPr="00731887" w:rsidRDefault="002D0B90"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2D0B90" w:rsidRPr="00731887" w:rsidRDefault="002D0B90"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sidRPr="00731887">
              <w:rPr>
                <w:rFonts w:ascii="Times New Roman" w:eastAsia="Times New Roman" w:hAnsi="Times New Roman"/>
                <w:color w:val="000000"/>
                <w:sz w:val="20"/>
                <w:szCs w:val="20"/>
                <w:lang w:eastAsia="ru-RU"/>
              </w:rPr>
              <w:t>400</w:t>
            </w:r>
          </w:p>
        </w:tc>
        <w:tc>
          <w:tcPr>
            <w:tcW w:w="1276" w:type="dxa"/>
            <w:vMerge w:val="restart"/>
            <w:vAlign w:val="center"/>
          </w:tcPr>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2D0B90" w:rsidRPr="00731887" w:rsidRDefault="002D0B90"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2D0B90" w:rsidRPr="00731887" w:rsidRDefault="002D0B90"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1</w:t>
            </w:r>
          </w:p>
        </w:tc>
        <w:tc>
          <w:tcPr>
            <w:tcW w:w="1417"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c>
          <w:tcPr>
            <w:tcW w:w="1489"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r>
      <w:tr w:rsidR="002D0B90" w:rsidRPr="00731887" w:rsidTr="009B5C68">
        <w:trPr>
          <w:gridAfter w:val="1"/>
          <w:wAfter w:w="9" w:type="dxa"/>
          <w:cantSplit/>
          <w:trHeight w:val="469"/>
        </w:trPr>
        <w:tc>
          <w:tcPr>
            <w:tcW w:w="495" w:type="dxa"/>
            <w:vAlign w:val="center"/>
          </w:tcPr>
          <w:p w:rsidR="002D0B90" w:rsidRPr="00731887" w:rsidRDefault="002D0B90"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н-11</w:t>
            </w:r>
          </w:p>
        </w:tc>
        <w:tc>
          <w:tcPr>
            <w:tcW w:w="1559" w:type="dxa"/>
            <w:vAlign w:val="center"/>
          </w:tcPr>
          <w:p w:rsidR="002D0B90" w:rsidRPr="00731887" w:rsidRDefault="002D0B90" w:rsidP="00731887">
            <w:pPr>
              <w:tabs>
                <w:tab w:val="left" w:pos="57"/>
                <w:tab w:val="left" w:pos="180"/>
              </w:tabs>
              <w:autoSpaceDE w:val="0"/>
              <w:autoSpaceDN w:val="0"/>
              <w:spacing w:after="0" w:line="240" w:lineRule="auto"/>
              <w:rPr>
                <w:rFonts w:ascii="Times New Roman" w:hAnsi="Times New Roman"/>
                <w:sz w:val="20"/>
                <w:szCs w:val="20"/>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2D0B90" w:rsidRPr="00731887" w:rsidRDefault="002D0B90"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ign w:val="center"/>
          </w:tcPr>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2D0B90" w:rsidRPr="00731887" w:rsidRDefault="002D0B90"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c>
          <w:tcPr>
            <w:tcW w:w="1489"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r>
      <w:tr w:rsidR="008A6F54" w:rsidRPr="00731887" w:rsidTr="009B5C68">
        <w:trPr>
          <w:cantSplit/>
          <w:trHeight w:val="263"/>
        </w:trPr>
        <w:tc>
          <w:tcPr>
            <w:tcW w:w="8717" w:type="dxa"/>
            <w:gridSpan w:val="7"/>
            <w:vAlign w:val="center"/>
          </w:tcPr>
          <w:p w:rsidR="008A6F54" w:rsidRPr="00731887" w:rsidRDefault="008A6F54" w:rsidP="00731887">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A4F11" w:rsidRPr="00731887">
        <w:rPr>
          <w:rFonts w:ascii="Times New Roman" w:hAnsi="Times New Roman"/>
          <w:sz w:val="20"/>
          <w:szCs w:val="20"/>
        </w:rPr>
        <w:t>нее неиспользованной, не ранее 4</w:t>
      </w:r>
      <w:r w:rsidRPr="00731887">
        <w:rPr>
          <w:rFonts w:ascii="Times New Roman" w:hAnsi="Times New Roman"/>
          <w:sz w:val="20"/>
          <w:szCs w:val="20"/>
        </w:rPr>
        <w:t xml:space="preserve"> кв. 2021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D0B90" w:rsidRPr="00731887" w:rsidTr="009F6A6F">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 xml:space="preserve">Силовой трансформатор ТМГ-400/10/0,4кВ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ind w:left="0" w:firstLine="0"/>
              <w:jc w:val="center"/>
              <w:rPr>
                <w:b/>
                <w:sz w:val="20"/>
                <w:szCs w:val="20"/>
              </w:rPr>
            </w:pPr>
            <w:r w:rsidRPr="00731887">
              <w:rPr>
                <w:b/>
                <w:sz w:val="20"/>
                <w:szCs w:val="20"/>
              </w:rPr>
              <w:t>Р52719-2007</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12.2.007.2-75</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sz w:val="20"/>
                <w:szCs w:val="20"/>
              </w:rPr>
            </w:pPr>
            <w:r w:rsidRPr="00731887">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tabs>
                <w:tab w:val="left" w:pos="57"/>
                <w:tab w:val="left" w:pos="180"/>
              </w:tabs>
              <w:spacing w:before="0" w:line="240" w:lineRule="auto"/>
              <w:jc w:val="center"/>
              <w:rPr>
                <w:color w:val="000000"/>
                <w:sz w:val="20"/>
                <w:szCs w:val="20"/>
              </w:rPr>
            </w:pPr>
            <w:r w:rsidRPr="00731887">
              <w:rPr>
                <w:color w:val="000000"/>
                <w:sz w:val="20"/>
                <w:szCs w:val="20"/>
              </w:rPr>
              <w:t>400</w:t>
            </w:r>
          </w:p>
        </w:tc>
      </w:tr>
      <w:tr w:rsidR="002D0B90" w:rsidRPr="00731887" w:rsidTr="009F6A6F">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н-11</w:t>
            </w:r>
          </w:p>
        </w:tc>
        <w:tc>
          <w:tcPr>
            <w:tcW w:w="2268" w:type="dxa"/>
            <w:vMerge/>
            <w:tcBorders>
              <w:left w:val="single" w:sz="4" w:space="0" w:color="auto"/>
              <w:right w:val="single" w:sz="4" w:space="0" w:color="auto"/>
            </w:tcBorders>
            <w:vAlign w:val="center"/>
          </w:tcPr>
          <w:p w:rsidR="002D0B90" w:rsidRPr="00731887" w:rsidRDefault="002D0B90" w:rsidP="00731887">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A4F11" w:rsidRPr="00731887">
        <w:rPr>
          <w:rFonts w:ascii="Times New Roman" w:hAnsi="Times New Roman"/>
          <w:sz w:val="20"/>
          <w:szCs w:val="20"/>
        </w:rPr>
        <w:t>4</w:t>
      </w:r>
      <w:r w:rsidRPr="00731887">
        <w:rPr>
          <w:rFonts w:ascii="Times New Roman" w:hAnsi="Times New Roman"/>
          <w:sz w:val="20"/>
          <w:szCs w:val="20"/>
        </w:rPr>
        <w:t xml:space="preserve"> кв. 2021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B0" w:rsidRDefault="006438B0" w:rsidP="004471A3">
      <w:pPr>
        <w:spacing w:after="0" w:line="240" w:lineRule="auto"/>
      </w:pPr>
      <w:r>
        <w:separator/>
      </w:r>
    </w:p>
  </w:endnote>
  <w:endnote w:type="continuationSeparator" w:id="0">
    <w:p w:rsidR="006438B0" w:rsidRDefault="006438B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725C7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3188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225B1">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73188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3C65A5" w:rsidRDefault="00725C7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3188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225B1">
      <w:rPr>
        <w:rFonts w:ascii="Times New Roman" w:hAnsi="Times New Roman"/>
        <w:bCs/>
        <w:noProof/>
        <w:sz w:val="24"/>
        <w:szCs w:val="24"/>
      </w:rPr>
      <w:t>20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B0" w:rsidRDefault="006438B0" w:rsidP="004471A3">
      <w:pPr>
        <w:spacing w:after="0" w:line="240" w:lineRule="auto"/>
      </w:pPr>
      <w:r>
        <w:separator/>
      </w:r>
    </w:p>
  </w:footnote>
  <w:footnote w:type="continuationSeparator" w:id="0">
    <w:p w:rsidR="006438B0" w:rsidRDefault="006438B0" w:rsidP="004471A3">
      <w:pPr>
        <w:spacing w:after="0" w:line="240" w:lineRule="auto"/>
      </w:pPr>
      <w:r>
        <w:continuationSeparator/>
      </w:r>
    </w:p>
  </w:footnote>
  <w:footnote w:id="1">
    <w:p w:rsidR="00731887" w:rsidRDefault="0073188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hideSpellingErrors/>
  <w:hideGrammaticalErrors/>
  <w:proofState w:spelling="clean" w:grammar="clean"/>
  <w:documentProtection w:edit="forms" w:enforcement="0"/>
  <w:defaultTabStop w:val="708"/>
  <w:characterSpacingControl w:val="doNotCompress"/>
  <w:hdrShapeDefaults>
    <o:shapedefaults v:ext="edit" spidmax="101378"/>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42971-F261-4CF2-9349-2E94211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16255</Words>
  <Characters>92658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108696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5</cp:revision>
  <cp:lastPrinted>2022-04-27T06:53:00Z</cp:lastPrinted>
  <dcterms:created xsi:type="dcterms:W3CDTF">2022-04-26T08:41:00Z</dcterms:created>
  <dcterms:modified xsi:type="dcterms:W3CDTF">2022-04-27T06:55:00Z</dcterms:modified>
</cp:coreProperties>
</file>